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9E0" w:rsidRDefault="00A669E0" w:rsidP="0060168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69E0">
        <w:rPr>
          <w:rFonts w:ascii="Times New Roman" w:hAnsi="Times New Roman" w:cs="Times New Roman"/>
          <w:b/>
          <w:sz w:val="24"/>
          <w:szCs w:val="24"/>
        </w:rPr>
        <w:t xml:space="preserve">Discussion </w:t>
      </w:r>
      <w:r w:rsidR="001A6C3F">
        <w:rPr>
          <w:rFonts w:ascii="Times New Roman" w:hAnsi="Times New Roman" w:cs="Times New Roman"/>
          <w:b/>
          <w:sz w:val="24"/>
          <w:szCs w:val="24"/>
        </w:rPr>
        <w:t>One</w:t>
      </w:r>
    </w:p>
    <w:p w:rsidR="00EE02F9" w:rsidRDefault="001A6C3F" w:rsidP="0084269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Predicting the future of </w:t>
      </w:r>
      <w:r w:rsidR="00842698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economy is very important. </w:t>
      </w:r>
      <w:r w:rsidR="002643A4">
        <w:rPr>
          <w:rFonts w:ascii="Times New Roman" w:hAnsi="Times New Roman" w:cs="Times New Roman"/>
          <w:sz w:val="24"/>
          <w:szCs w:val="24"/>
        </w:rPr>
        <w:t xml:space="preserve">Most economists apply leading indicators to forecast possible future changes in the economy. Hence, leading indicators are significant in </w:t>
      </w:r>
      <w:r w:rsidR="00F50E57">
        <w:rPr>
          <w:rFonts w:ascii="Times New Roman" w:hAnsi="Times New Roman" w:cs="Times New Roman"/>
          <w:sz w:val="24"/>
          <w:szCs w:val="24"/>
        </w:rPr>
        <w:t>predic</w:t>
      </w:r>
      <w:r w:rsidR="002643A4">
        <w:rPr>
          <w:rFonts w:ascii="Times New Roman" w:hAnsi="Times New Roman" w:cs="Times New Roman"/>
          <w:sz w:val="24"/>
          <w:szCs w:val="24"/>
        </w:rPr>
        <w:t xml:space="preserve">ting economic conditions since they are the </w:t>
      </w:r>
      <w:r w:rsidR="00F50E57">
        <w:rPr>
          <w:rFonts w:ascii="Times New Roman" w:hAnsi="Times New Roman" w:cs="Times New Roman"/>
          <w:sz w:val="24"/>
          <w:szCs w:val="24"/>
        </w:rPr>
        <w:t>fundamental</w:t>
      </w:r>
      <w:r w:rsidR="002643A4">
        <w:rPr>
          <w:rFonts w:ascii="Times New Roman" w:hAnsi="Times New Roman" w:cs="Times New Roman"/>
          <w:sz w:val="24"/>
          <w:szCs w:val="24"/>
        </w:rPr>
        <w:t xml:space="preserve"> models used.</w:t>
      </w:r>
    </w:p>
    <w:p w:rsidR="0013239D" w:rsidRPr="0013239D" w:rsidRDefault="00842698" w:rsidP="0084269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13239D" w:rsidRPr="0013239D">
        <w:rPr>
          <w:rFonts w:ascii="Times New Roman" w:hAnsi="Times New Roman" w:cs="Times New Roman"/>
          <w:sz w:val="24"/>
          <w:szCs w:val="24"/>
        </w:rPr>
        <w:t xml:space="preserve">he leading </w:t>
      </w:r>
      <w:r w:rsidR="0013239D">
        <w:rPr>
          <w:rFonts w:ascii="Times New Roman" w:hAnsi="Times New Roman" w:cs="Times New Roman"/>
          <w:sz w:val="24"/>
          <w:szCs w:val="24"/>
        </w:rPr>
        <w:t>indicators</w:t>
      </w:r>
      <w:r>
        <w:rPr>
          <w:rFonts w:ascii="Times New Roman" w:hAnsi="Times New Roman" w:cs="Times New Roman"/>
          <w:sz w:val="24"/>
          <w:szCs w:val="24"/>
        </w:rPr>
        <w:t>,</w:t>
      </w:r>
      <w:r w:rsidR="0013239D">
        <w:rPr>
          <w:rFonts w:ascii="Times New Roman" w:hAnsi="Times New Roman" w:cs="Times New Roman"/>
          <w:sz w:val="24"/>
          <w:szCs w:val="24"/>
        </w:rPr>
        <w:t xml:space="preserve"> also known as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13239D">
        <w:rPr>
          <w:rFonts w:ascii="Times New Roman" w:hAnsi="Times New Roman" w:cs="Times New Roman"/>
          <w:sz w:val="24"/>
          <w:szCs w:val="24"/>
        </w:rPr>
        <w:t xml:space="preserve">leading economic </w:t>
      </w:r>
      <w:r>
        <w:rPr>
          <w:rFonts w:ascii="Times New Roman" w:hAnsi="Times New Roman" w:cs="Times New Roman"/>
          <w:sz w:val="24"/>
          <w:szCs w:val="24"/>
        </w:rPr>
        <w:t>Index, are critical informal forecasting tools</w:t>
      </w:r>
      <w:r w:rsidR="001E30E4">
        <w:rPr>
          <w:rFonts w:ascii="Times New Roman" w:hAnsi="Times New Roman" w:cs="Times New Roman"/>
          <w:sz w:val="24"/>
          <w:szCs w:val="24"/>
        </w:rPr>
        <w:t xml:space="preserve"> for the economy. Economists apply it to foretell the direction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1E30E4">
        <w:rPr>
          <w:rFonts w:ascii="Times New Roman" w:hAnsi="Times New Roman" w:cs="Times New Roman"/>
          <w:sz w:val="24"/>
          <w:szCs w:val="24"/>
        </w:rPr>
        <w:t xml:space="preserve">future </w:t>
      </w:r>
      <w:r>
        <w:rPr>
          <w:rFonts w:ascii="Times New Roman" w:hAnsi="Times New Roman" w:cs="Times New Roman"/>
          <w:sz w:val="24"/>
          <w:szCs w:val="24"/>
        </w:rPr>
        <w:t>financial</w:t>
      </w:r>
      <w:r w:rsidR="001E30E4">
        <w:rPr>
          <w:rFonts w:ascii="Times New Roman" w:hAnsi="Times New Roman" w:cs="Times New Roman"/>
          <w:sz w:val="24"/>
          <w:szCs w:val="24"/>
        </w:rPr>
        <w:t xml:space="preserve"> situation. According to</w:t>
      </w:r>
      <w:r w:rsidR="001E30E4" w:rsidRPr="001E30E4">
        <w:rPr>
          <w:rFonts w:ascii="Times New Roman" w:hAnsi="Times New Roman" w:cs="Times New Roman"/>
          <w:sz w:val="24"/>
          <w:szCs w:val="24"/>
        </w:rPr>
        <w:t xml:space="preserve"> </w:t>
      </w:r>
      <w:r w:rsidR="001E30E4">
        <w:rPr>
          <w:rFonts w:ascii="Times New Roman" w:hAnsi="Times New Roman" w:cs="Times New Roman"/>
          <w:sz w:val="24"/>
          <w:szCs w:val="24"/>
        </w:rPr>
        <w:t>Berge</w:t>
      </w:r>
      <w:r>
        <w:rPr>
          <w:rFonts w:ascii="Times New Roman" w:hAnsi="Times New Roman" w:cs="Times New Roman"/>
          <w:sz w:val="24"/>
          <w:szCs w:val="24"/>
        </w:rPr>
        <w:t xml:space="preserve"> (2015), the leading indicators index is a macroeconomic tool that predicts</w:t>
      </w:r>
      <w:r w:rsidR="001E30E4">
        <w:rPr>
          <w:rFonts w:ascii="Times New Roman" w:hAnsi="Times New Roman" w:cs="Times New Roman"/>
          <w:sz w:val="24"/>
          <w:szCs w:val="24"/>
        </w:rPr>
        <w:t xml:space="preserve"> the business cycles. </w:t>
      </w:r>
      <w:r w:rsidR="00EE02F9">
        <w:rPr>
          <w:rFonts w:ascii="Times New Roman" w:hAnsi="Times New Roman" w:cs="Times New Roman"/>
          <w:sz w:val="24"/>
          <w:szCs w:val="24"/>
        </w:rPr>
        <w:t xml:space="preserve">Notably, the investors and business persons can use the </w:t>
      </w:r>
      <w:r>
        <w:rPr>
          <w:rFonts w:ascii="Times New Roman" w:hAnsi="Times New Roman" w:cs="Times New Roman"/>
          <w:sz w:val="24"/>
          <w:szCs w:val="24"/>
        </w:rPr>
        <w:t>I</w:t>
      </w:r>
      <w:r w:rsidR="00EE02F9">
        <w:rPr>
          <w:rFonts w:ascii="Times New Roman" w:hAnsi="Times New Roman" w:cs="Times New Roman"/>
          <w:sz w:val="24"/>
          <w:szCs w:val="24"/>
        </w:rPr>
        <w:t>ndex in planning their activities after predicting economic performance.</w:t>
      </w:r>
    </w:p>
    <w:p w:rsidR="007B4F01" w:rsidRPr="007B4F01" w:rsidRDefault="00842698" w:rsidP="002643A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7B4F01" w:rsidRPr="007B4F01">
        <w:rPr>
          <w:rFonts w:ascii="Times New Roman" w:hAnsi="Times New Roman" w:cs="Times New Roman"/>
          <w:sz w:val="24"/>
          <w:szCs w:val="24"/>
        </w:rPr>
        <w:t xml:space="preserve">Phillips curve is </w:t>
      </w:r>
      <w:r>
        <w:rPr>
          <w:rFonts w:ascii="Times New Roman" w:hAnsi="Times New Roman" w:cs="Times New Roman"/>
          <w:sz w:val="24"/>
          <w:szCs w:val="24"/>
        </w:rPr>
        <w:t xml:space="preserve">an </w:t>
      </w:r>
      <w:r w:rsidR="007B4F01">
        <w:rPr>
          <w:rFonts w:ascii="Times New Roman" w:hAnsi="Times New Roman" w:cs="Times New Roman"/>
          <w:sz w:val="24"/>
          <w:szCs w:val="24"/>
        </w:rPr>
        <w:t xml:space="preserve">essential economic </w:t>
      </w:r>
      <w:r w:rsidR="005065AD">
        <w:rPr>
          <w:rFonts w:ascii="Times New Roman" w:hAnsi="Times New Roman" w:cs="Times New Roman"/>
          <w:sz w:val="24"/>
          <w:szCs w:val="24"/>
        </w:rPr>
        <w:t xml:space="preserve">predictor as </w:t>
      </w:r>
      <w:r>
        <w:rPr>
          <w:rFonts w:ascii="Times New Roman" w:hAnsi="Times New Roman" w:cs="Times New Roman"/>
          <w:sz w:val="24"/>
          <w:szCs w:val="24"/>
        </w:rPr>
        <w:t xml:space="preserve">it </w:t>
      </w:r>
      <w:r w:rsidR="005065AD">
        <w:rPr>
          <w:rFonts w:ascii="Times New Roman" w:hAnsi="Times New Roman" w:cs="Times New Roman"/>
          <w:sz w:val="24"/>
          <w:szCs w:val="24"/>
        </w:rPr>
        <w:t>indicate</w:t>
      </w:r>
      <w:r>
        <w:rPr>
          <w:rFonts w:ascii="Times New Roman" w:hAnsi="Times New Roman" w:cs="Times New Roman"/>
          <w:sz w:val="24"/>
          <w:szCs w:val="24"/>
        </w:rPr>
        <w:t>s</w:t>
      </w:r>
      <w:r w:rsidR="005065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5065AD">
        <w:rPr>
          <w:rFonts w:ascii="Times New Roman" w:hAnsi="Times New Roman" w:cs="Times New Roman"/>
          <w:sz w:val="24"/>
          <w:szCs w:val="24"/>
        </w:rPr>
        <w:t>clear relationship between inflation and unemploy</w:t>
      </w:r>
      <w:r w:rsidR="008927F8">
        <w:rPr>
          <w:rFonts w:ascii="Times New Roman" w:hAnsi="Times New Roman" w:cs="Times New Roman"/>
          <w:sz w:val="24"/>
          <w:szCs w:val="24"/>
        </w:rPr>
        <w:t>ment. According to Eser et al. (</w:t>
      </w:r>
      <w:r w:rsidR="005065AD">
        <w:rPr>
          <w:rFonts w:ascii="Times New Roman" w:hAnsi="Times New Roman" w:cs="Times New Roman"/>
          <w:sz w:val="24"/>
          <w:szCs w:val="24"/>
        </w:rPr>
        <w:t>2020</w:t>
      </w:r>
      <w:r w:rsidR="008927F8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5065AD">
        <w:rPr>
          <w:rFonts w:ascii="Times New Roman" w:hAnsi="Times New Roman" w:cs="Times New Roman"/>
          <w:sz w:val="24"/>
          <w:szCs w:val="24"/>
        </w:rPr>
        <w:t>Phillips curve enable</w:t>
      </w:r>
      <w:r>
        <w:rPr>
          <w:rFonts w:ascii="Times New Roman" w:hAnsi="Times New Roman" w:cs="Times New Roman"/>
          <w:sz w:val="24"/>
          <w:szCs w:val="24"/>
        </w:rPr>
        <w:t>s</w:t>
      </w:r>
      <w:r w:rsidR="005065AD">
        <w:rPr>
          <w:rFonts w:ascii="Times New Roman" w:hAnsi="Times New Roman" w:cs="Times New Roman"/>
          <w:sz w:val="24"/>
          <w:szCs w:val="24"/>
        </w:rPr>
        <w:t xml:space="preserve"> </w:t>
      </w:r>
      <w:r w:rsidR="00CB6FD5">
        <w:rPr>
          <w:rFonts w:ascii="Times New Roman" w:hAnsi="Times New Roman" w:cs="Times New Roman"/>
          <w:sz w:val="24"/>
          <w:szCs w:val="24"/>
        </w:rPr>
        <w:t xml:space="preserve">a relationship between inflation and unemployment in a strict and tight labor market. Therefore, by </w:t>
      </w:r>
      <w:r>
        <w:rPr>
          <w:rFonts w:ascii="Times New Roman" w:hAnsi="Times New Roman" w:cs="Times New Roman"/>
          <w:sz w:val="24"/>
          <w:szCs w:val="24"/>
        </w:rPr>
        <w:t>allow</w:t>
      </w:r>
      <w:r w:rsidR="00CB6FD5">
        <w:rPr>
          <w:rFonts w:ascii="Times New Roman" w:hAnsi="Times New Roman" w:cs="Times New Roman"/>
          <w:sz w:val="24"/>
          <w:szCs w:val="24"/>
        </w:rPr>
        <w:t xml:space="preserve">ing various unemployment alterations in restricted slack markets, there is a steady decline below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CB6FD5">
        <w:rPr>
          <w:rFonts w:ascii="Times New Roman" w:hAnsi="Times New Roman" w:cs="Times New Roman"/>
          <w:sz w:val="24"/>
          <w:szCs w:val="24"/>
        </w:rPr>
        <w:t xml:space="preserve">natural rate and points above it. </w:t>
      </w:r>
    </w:p>
    <w:p w:rsidR="00190176" w:rsidRDefault="00CB6FD5" w:rsidP="002643A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given macroeco</w:t>
      </w:r>
      <w:r w:rsidR="009C7EC7">
        <w:rPr>
          <w:rFonts w:ascii="Times New Roman" w:hAnsi="Times New Roman" w:cs="Times New Roman"/>
          <w:sz w:val="24"/>
          <w:szCs w:val="24"/>
        </w:rPr>
        <w:t xml:space="preserve">nomic information from </w:t>
      </w:r>
      <w:r w:rsidR="00842698">
        <w:rPr>
          <w:rFonts w:ascii="Times New Roman" w:hAnsi="Times New Roman" w:cs="Times New Roman"/>
          <w:sz w:val="24"/>
          <w:szCs w:val="24"/>
        </w:rPr>
        <w:t xml:space="preserve">the </w:t>
      </w:r>
      <w:r w:rsidR="009C7EC7">
        <w:rPr>
          <w:rFonts w:ascii="Times New Roman" w:hAnsi="Times New Roman" w:cs="Times New Roman"/>
          <w:sz w:val="24"/>
          <w:szCs w:val="24"/>
        </w:rPr>
        <w:t xml:space="preserve">Phillips curve and </w:t>
      </w:r>
      <w:r w:rsidR="00842698">
        <w:rPr>
          <w:rFonts w:ascii="Times New Roman" w:hAnsi="Times New Roman" w:cs="Times New Roman"/>
          <w:sz w:val="24"/>
          <w:szCs w:val="24"/>
        </w:rPr>
        <w:t>the leading indicators Index</w:t>
      </w:r>
      <w:r w:rsidR="009C7EC7">
        <w:rPr>
          <w:rFonts w:ascii="Times New Roman" w:hAnsi="Times New Roman" w:cs="Times New Roman"/>
          <w:sz w:val="24"/>
          <w:szCs w:val="24"/>
        </w:rPr>
        <w:t xml:space="preserve"> </w:t>
      </w:r>
      <w:r w:rsidR="00842698">
        <w:rPr>
          <w:rFonts w:ascii="Times New Roman" w:hAnsi="Times New Roman" w:cs="Times New Roman"/>
          <w:sz w:val="24"/>
          <w:szCs w:val="24"/>
        </w:rPr>
        <w:t>is</w:t>
      </w:r>
      <w:r w:rsidR="009C7EC7">
        <w:rPr>
          <w:rFonts w:ascii="Times New Roman" w:hAnsi="Times New Roman" w:cs="Times New Roman"/>
          <w:sz w:val="24"/>
          <w:szCs w:val="24"/>
        </w:rPr>
        <w:t xml:space="preserve"> critical in making business decisions. For instance, watching the trends such</w:t>
      </w:r>
      <w:r>
        <w:rPr>
          <w:rFonts w:ascii="Times New Roman" w:hAnsi="Times New Roman" w:cs="Times New Roman"/>
          <w:sz w:val="24"/>
          <w:szCs w:val="24"/>
        </w:rPr>
        <w:t xml:space="preserve"> as government expenditure </w:t>
      </w:r>
      <w:r w:rsidR="009C7EC7">
        <w:rPr>
          <w:rFonts w:ascii="Times New Roman" w:hAnsi="Times New Roman" w:cs="Times New Roman"/>
          <w:sz w:val="24"/>
          <w:szCs w:val="24"/>
        </w:rPr>
        <w:t>and interest rates will enable a business person to forecast the future of sales. Further</w:t>
      </w:r>
      <w:r w:rsidR="008927F8">
        <w:rPr>
          <w:rFonts w:ascii="Times New Roman" w:hAnsi="Times New Roman" w:cs="Times New Roman"/>
          <w:sz w:val="24"/>
          <w:szCs w:val="24"/>
        </w:rPr>
        <w:t>more</w:t>
      </w:r>
      <w:r w:rsidR="009C7EC7">
        <w:rPr>
          <w:rFonts w:ascii="Times New Roman" w:hAnsi="Times New Roman" w:cs="Times New Roman"/>
          <w:sz w:val="24"/>
          <w:szCs w:val="24"/>
        </w:rPr>
        <w:t xml:space="preserve">, since </w:t>
      </w:r>
      <w:r w:rsidR="00842698">
        <w:rPr>
          <w:rFonts w:ascii="Times New Roman" w:hAnsi="Times New Roman" w:cs="Times New Roman"/>
          <w:sz w:val="24"/>
          <w:szCs w:val="24"/>
        </w:rPr>
        <w:t xml:space="preserve">the </w:t>
      </w:r>
      <w:r w:rsidR="009C7EC7">
        <w:rPr>
          <w:rFonts w:ascii="Times New Roman" w:hAnsi="Times New Roman" w:cs="Times New Roman"/>
          <w:sz w:val="24"/>
          <w:szCs w:val="24"/>
        </w:rPr>
        <w:t xml:space="preserve">Phillips curve predicts inflation rate and unemployment rate, there is likely a change in inflation as the economic environment changes. </w:t>
      </w:r>
    </w:p>
    <w:p w:rsidR="00CF3F83" w:rsidRPr="00CF3F83" w:rsidRDefault="00932914" w:rsidP="00CF3F83">
      <w:pPr>
        <w:spacing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3F83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932914" w:rsidRDefault="00932914" w:rsidP="0093291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E30E4">
        <w:rPr>
          <w:rFonts w:ascii="Times New Roman" w:hAnsi="Times New Roman" w:cs="Times New Roman"/>
          <w:sz w:val="24"/>
          <w:szCs w:val="24"/>
        </w:rPr>
        <w:t>Berge, T. J. (2015). Predicting recessions with leading indicators: Model averaging and selection over the business cycle. Journal of Forecasting, 34(6), 455-471.</w:t>
      </w:r>
    </w:p>
    <w:p w:rsidR="00932914" w:rsidRDefault="00CF3F83" w:rsidP="00CF3F8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065AD">
        <w:rPr>
          <w:rFonts w:ascii="Times New Roman" w:hAnsi="Times New Roman" w:cs="Times New Roman"/>
          <w:sz w:val="24"/>
          <w:szCs w:val="24"/>
        </w:rPr>
        <w:lastRenderedPageBreak/>
        <w:t>Eser, F., Karadi, P., Lane, P. R., Moretti, L., &amp; Osbat, C. (2020). The Phillips Curve at the ECB. The Manchester School, 88, 50-85.</w:t>
      </w:r>
    </w:p>
    <w:p w:rsidR="00C702B8" w:rsidRDefault="00C702B8" w:rsidP="008927F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02B8">
        <w:rPr>
          <w:rFonts w:ascii="Times New Roman" w:hAnsi="Times New Roman" w:cs="Times New Roman"/>
          <w:b/>
          <w:sz w:val="24"/>
          <w:szCs w:val="24"/>
        </w:rPr>
        <w:t>Discussion Two</w:t>
      </w:r>
    </w:p>
    <w:p w:rsidR="00C702B8" w:rsidRDefault="00F50E57" w:rsidP="002643A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given tables show</w:t>
      </w:r>
      <w:r w:rsidR="00C702B8" w:rsidRPr="00C702B8">
        <w:rPr>
          <w:rFonts w:ascii="Times New Roman" w:hAnsi="Times New Roman" w:cs="Times New Roman"/>
          <w:sz w:val="24"/>
          <w:szCs w:val="24"/>
        </w:rPr>
        <w:t xml:space="preserve"> that </w:t>
      </w:r>
      <w:r w:rsidR="00C702B8">
        <w:rPr>
          <w:rFonts w:ascii="Times New Roman" w:hAnsi="Times New Roman" w:cs="Times New Roman"/>
          <w:sz w:val="24"/>
          <w:szCs w:val="24"/>
        </w:rPr>
        <w:t xml:space="preserve">economically stable countries are becoming richer with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C702B8">
        <w:rPr>
          <w:rFonts w:ascii="Times New Roman" w:hAnsi="Times New Roman" w:cs="Times New Roman"/>
          <w:sz w:val="24"/>
          <w:szCs w:val="24"/>
        </w:rPr>
        <w:t xml:space="preserve">doubling amount of stock prices. </w:t>
      </w:r>
      <w:r w:rsidR="00761315">
        <w:rPr>
          <w:rFonts w:ascii="Times New Roman" w:hAnsi="Times New Roman" w:cs="Times New Roman"/>
          <w:sz w:val="24"/>
          <w:szCs w:val="24"/>
        </w:rPr>
        <w:t xml:space="preserve">The constant rising </w:t>
      </w:r>
      <w:r>
        <w:rPr>
          <w:rFonts w:ascii="Times New Roman" w:hAnsi="Times New Roman" w:cs="Times New Roman"/>
          <w:sz w:val="24"/>
          <w:szCs w:val="24"/>
        </w:rPr>
        <w:t>in</w:t>
      </w:r>
      <w:r w:rsidR="00761315">
        <w:rPr>
          <w:rFonts w:ascii="Times New Roman" w:hAnsi="Times New Roman" w:cs="Times New Roman"/>
          <w:sz w:val="24"/>
          <w:szCs w:val="24"/>
        </w:rPr>
        <w:t xml:space="preserve"> stock prices denotes investors are purchasing more stock </w:t>
      </w:r>
      <w:r>
        <w:rPr>
          <w:rFonts w:ascii="Times New Roman" w:hAnsi="Times New Roman" w:cs="Times New Roman"/>
          <w:sz w:val="24"/>
          <w:szCs w:val="24"/>
        </w:rPr>
        <w:t>to</w:t>
      </w:r>
      <w:r w:rsidR="00761315">
        <w:rPr>
          <w:rFonts w:ascii="Times New Roman" w:hAnsi="Times New Roman" w:cs="Times New Roman"/>
          <w:sz w:val="24"/>
          <w:szCs w:val="24"/>
        </w:rPr>
        <w:t xml:space="preserve"> increase share prices. Consequently, a rise in share prices indicates higher interest rates</w:t>
      </w:r>
      <w:r>
        <w:rPr>
          <w:rFonts w:ascii="Times New Roman" w:hAnsi="Times New Roman" w:cs="Times New Roman"/>
          <w:sz w:val="24"/>
          <w:szCs w:val="24"/>
        </w:rPr>
        <w:t>,</w:t>
      </w:r>
      <w:r w:rsidR="00761315">
        <w:rPr>
          <w:rFonts w:ascii="Times New Roman" w:hAnsi="Times New Roman" w:cs="Times New Roman"/>
          <w:sz w:val="24"/>
          <w:szCs w:val="24"/>
        </w:rPr>
        <w:t xml:space="preserve"> which is much safer for the investments. Besides, there are higher annual returns of investments facilitated by the </w:t>
      </w:r>
      <w:r>
        <w:rPr>
          <w:rFonts w:ascii="Times New Roman" w:hAnsi="Times New Roman" w:cs="Times New Roman"/>
          <w:sz w:val="24"/>
          <w:szCs w:val="24"/>
        </w:rPr>
        <w:t>stocks' purchase</w:t>
      </w:r>
      <w:r w:rsidR="00761315">
        <w:rPr>
          <w:rFonts w:ascii="Times New Roman" w:hAnsi="Times New Roman" w:cs="Times New Roman"/>
          <w:sz w:val="24"/>
          <w:szCs w:val="24"/>
        </w:rPr>
        <w:t>s and the mutual funds. However, there are risks associated with the investments and even possible losses.</w:t>
      </w:r>
    </w:p>
    <w:p w:rsidR="00761315" w:rsidRDefault="00F50E57" w:rsidP="002643A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0E29A2">
        <w:rPr>
          <w:rFonts w:ascii="Times New Roman" w:hAnsi="Times New Roman" w:cs="Times New Roman"/>
          <w:sz w:val="24"/>
          <w:szCs w:val="24"/>
        </w:rPr>
        <w:t xml:space="preserve">conomic freedom is indicated by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0E29A2">
        <w:rPr>
          <w:rFonts w:ascii="Times New Roman" w:hAnsi="Times New Roman" w:cs="Times New Roman"/>
          <w:sz w:val="24"/>
          <w:szCs w:val="24"/>
        </w:rPr>
        <w:t>stable money supply, increased free trade</w:t>
      </w:r>
      <w:r>
        <w:rPr>
          <w:rFonts w:ascii="Times New Roman" w:hAnsi="Times New Roman" w:cs="Times New Roman"/>
          <w:sz w:val="24"/>
          <w:szCs w:val="24"/>
        </w:rPr>
        <w:t>,</w:t>
      </w:r>
      <w:r w:rsidR="000E29A2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signific</w:t>
      </w:r>
      <w:r w:rsidR="000E29A2">
        <w:rPr>
          <w:rFonts w:ascii="Times New Roman" w:hAnsi="Times New Roman" w:cs="Times New Roman"/>
          <w:sz w:val="24"/>
          <w:szCs w:val="24"/>
        </w:rPr>
        <w:t>antly st</w:t>
      </w:r>
      <w:r>
        <w:rPr>
          <w:rFonts w:ascii="Times New Roman" w:hAnsi="Times New Roman" w:cs="Times New Roman"/>
          <w:sz w:val="24"/>
          <w:szCs w:val="24"/>
        </w:rPr>
        <w:t>eady</w:t>
      </w:r>
      <w:r w:rsidR="000E29A2">
        <w:rPr>
          <w:rFonts w:ascii="Times New Roman" w:hAnsi="Times New Roman" w:cs="Times New Roman"/>
          <w:sz w:val="24"/>
          <w:szCs w:val="24"/>
        </w:rPr>
        <w:t xml:space="preserve"> economic growth. According to the </w:t>
      </w:r>
      <w:r>
        <w:rPr>
          <w:rFonts w:ascii="Times New Roman" w:hAnsi="Times New Roman" w:cs="Times New Roman"/>
          <w:sz w:val="24"/>
          <w:szCs w:val="24"/>
        </w:rPr>
        <w:t>tables' illustration</w:t>
      </w:r>
      <w:r w:rsidR="000E29A2">
        <w:rPr>
          <w:rFonts w:ascii="Times New Roman" w:hAnsi="Times New Roman" w:cs="Times New Roman"/>
          <w:sz w:val="24"/>
          <w:szCs w:val="24"/>
        </w:rPr>
        <w:t xml:space="preserve">, there is no </w:t>
      </w:r>
      <w:r>
        <w:rPr>
          <w:rFonts w:ascii="Times New Roman" w:hAnsi="Times New Roman" w:cs="Times New Roman"/>
          <w:sz w:val="24"/>
          <w:szCs w:val="24"/>
        </w:rPr>
        <w:t>financial stability since there are a sudden rise and fall in stock market and investments, directly influencing</w:t>
      </w:r>
      <w:r w:rsidR="000E29A2">
        <w:rPr>
          <w:rFonts w:ascii="Times New Roman" w:hAnsi="Times New Roman" w:cs="Times New Roman"/>
          <w:sz w:val="24"/>
          <w:szCs w:val="24"/>
        </w:rPr>
        <w:t xml:space="preserve"> economic freedom. According to </w:t>
      </w:r>
      <w:r w:rsidR="00A01A45">
        <w:rPr>
          <w:rFonts w:ascii="Times New Roman" w:hAnsi="Times New Roman" w:cs="Times New Roman"/>
          <w:sz w:val="24"/>
          <w:szCs w:val="24"/>
        </w:rPr>
        <w:t>Bujancă &amp; Ulman</w:t>
      </w:r>
      <w:r w:rsidR="00A01A45" w:rsidRPr="00A01A45">
        <w:rPr>
          <w:rFonts w:ascii="Times New Roman" w:hAnsi="Times New Roman" w:cs="Times New Roman"/>
          <w:sz w:val="24"/>
          <w:szCs w:val="24"/>
        </w:rPr>
        <w:t xml:space="preserve"> (2015</w:t>
      </w:r>
      <w:r w:rsidR="00A01A4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  <w:r w:rsidR="00A01A45">
        <w:rPr>
          <w:rFonts w:ascii="Times New Roman" w:hAnsi="Times New Roman" w:cs="Times New Roman"/>
          <w:sz w:val="24"/>
          <w:szCs w:val="24"/>
        </w:rPr>
        <w:t xml:space="preserve"> productivity, commercial equilibrium</w:t>
      </w:r>
      <w:r>
        <w:rPr>
          <w:rFonts w:ascii="Times New Roman" w:hAnsi="Times New Roman" w:cs="Times New Roman"/>
          <w:sz w:val="24"/>
          <w:szCs w:val="24"/>
        </w:rPr>
        <w:t>,</w:t>
      </w:r>
      <w:r w:rsidR="00A01A45">
        <w:rPr>
          <w:rFonts w:ascii="Times New Roman" w:hAnsi="Times New Roman" w:cs="Times New Roman"/>
          <w:sz w:val="24"/>
          <w:szCs w:val="24"/>
        </w:rPr>
        <w:t xml:space="preserve"> and objective implementation are </w:t>
      </w:r>
      <w:r>
        <w:rPr>
          <w:rFonts w:ascii="Times New Roman" w:hAnsi="Times New Roman" w:cs="Times New Roman"/>
          <w:sz w:val="24"/>
          <w:szCs w:val="24"/>
        </w:rPr>
        <w:t>indicators of economic freedom that</w:t>
      </w:r>
      <w:r w:rsidR="00A01A45">
        <w:rPr>
          <w:rFonts w:ascii="Times New Roman" w:hAnsi="Times New Roman" w:cs="Times New Roman"/>
          <w:sz w:val="24"/>
          <w:szCs w:val="24"/>
        </w:rPr>
        <w:t xml:space="preserve"> are not evident in the tables given. Unfortunately, </w:t>
      </w:r>
      <w:r w:rsidR="003A0AE0">
        <w:rPr>
          <w:rFonts w:ascii="Times New Roman" w:hAnsi="Times New Roman" w:cs="Times New Roman"/>
          <w:sz w:val="24"/>
          <w:szCs w:val="24"/>
        </w:rPr>
        <w:t xml:space="preserve">less </w:t>
      </w:r>
      <w:r>
        <w:rPr>
          <w:rFonts w:ascii="Times New Roman" w:hAnsi="Times New Roman" w:cs="Times New Roman"/>
          <w:sz w:val="24"/>
          <w:szCs w:val="24"/>
        </w:rPr>
        <w:t>financial</w:t>
      </w:r>
      <w:r w:rsidR="003A0AE0">
        <w:rPr>
          <w:rFonts w:ascii="Times New Roman" w:hAnsi="Times New Roman" w:cs="Times New Roman"/>
          <w:sz w:val="24"/>
          <w:szCs w:val="24"/>
        </w:rPr>
        <w:t xml:space="preserve"> freedom is likely to trigger more competition in the United States with some countries. </w:t>
      </w:r>
    </w:p>
    <w:p w:rsidR="008927F8" w:rsidRPr="00FB4BDA" w:rsidRDefault="000A3C5E" w:rsidP="00FB4B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Political decision making involve</w:t>
      </w:r>
      <w:r w:rsidR="00F50E5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government decisions that mostly protect </w:t>
      </w:r>
      <w:r w:rsidR="00F50E57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property rights of the businesses and the individuals. Moreover, political decision making </w:t>
      </w:r>
      <w:r w:rsidR="00F50E57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0E57">
        <w:rPr>
          <w:rFonts w:ascii="Times New Roman" w:hAnsi="Times New Roman" w:cs="Times New Roman"/>
          <w:sz w:val="24"/>
          <w:szCs w:val="24"/>
        </w:rPr>
        <w:t>useful</w:t>
      </w:r>
      <w:r>
        <w:rPr>
          <w:rFonts w:ascii="Times New Roman" w:hAnsi="Times New Roman" w:cs="Times New Roman"/>
          <w:sz w:val="24"/>
          <w:szCs w:val="24"/>
        </w:rPr>
        <w:t xml:space="preserve"> where there is </w:t>
      </w:r>
      <w:r w:rsidR="00F50E57">
        <w:rPr>
          <w:rFonts w:ascii="Times New Roman" w:hAnsi="Times New Roman" w:cs="Times New Roman"/>
          <w:sz w:val="24"/>
          <w:szCs w:val="24"/>
        </w:rPr>
        <w:t xml:space="preserve">an </w:t>
      </w:r>
      <w:r>
        <w:rPr>
          <w:rFonts w:ascii="Times New Roman" w:hAnsi="Times New Roman" w:cs="Times New Roman"/>
          <w:sz w:val="24"/>
          <w:szCs w:val="24"/>
        </w:rPr>
        <w:t>unsuitable economic model. The decision makings are also critical in carrying the normative implications</w:t>
      </w:r>
      <w:r w:rsidR="00F50E5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0E57">
        <w:rPr>
          <w:rFonts w:ascii="Times New Roman" w:hAnsi="Times New Roman" w:cs="Times New Roman"/>
          <w:sz w:val="24"/>
          <w:szCs w:val="24"/>
        </w:rPr>
        <w:t>which are often crucial tasks to be left in the hand of mere policymakers (Dawson, 2015). Also, most of these government decisions on corporate affairs influence accounting and reporting.</w:t>
      </w:r>
      <w:bookmarkStart w:id="0" w:name="_GoBack"/>
      <w:bookmarkEnd w:id="0"/>
    </w:p>
    <w:p w:rsidR="001E30E4" w:rsidRPr="00190176" w:rsidRDefault="001E30E4" w:rsidP="00F50E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30E4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965807" w:rsidRDefault="00965807" w:rsidP="0084269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01A45">
        <w:rPr>
          <w:rFonts w:ascii="Times New Roman" w:hAnsi="Times New Roman" w:cs="Times New Roman"/>
          <w:sz w:val="24"/>
          <w:szCs w:val="24"/>
        </w:rPr>
        <w:t>Bujancă, G. V., &amp; Ulman, S. R. (2015). The impact of economic freedom on national competitiveness in the main economic power cent</w:t>
      </w:r>
      <w:r>
        <w:rPr>
          <w:rFonts w:ascii="Times New Roman" w:hAnsi="Times New Roman" w:cs="Times New Roman"/>
          <w:sz w:val="24"/>
          <w:szCs w:val="24"/>
        </w:rPr>
        <w:t>er</w:t>
      </w:r>
      <w:r w:rsidRPr="00A01A45">
        <w:rPr>
          <w:rFonts w:ascii="Times New Roman" w:hAnsi="Times New Roman" w:cs="Times New Roman"/>
          <w:sz w:val="24"/>
          <w:szCs w:val="24"/>
        </w:rPr>
        <w:t>s in the World. Procedia Economics and Finance, 20, 94-103.</w:t>
      </w:r>
    </w:p>
    <w:p w:rsidR="00965807" w:rsidRPr="00A669E0" w:rsidRDefault="00965807" w:rsidP="0084269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50E57">
        <w:rPr>
          <w:rFonts w:ascii="Times New Roman" w:hAnsi="Times New Roman" w:cs="Times New Roman"/>
          <w:sz w:val="24"/>
          <w:szCs w:val="24"/>
        </w:rPr>
        <w:t xml:space="preserve">Dawson, M. (2015). The Legal and Political Accountability Structure of </w:t>
      </w:r>
      <w:r>
        <w:rPr>
          <w:rFonts w:ascii="Times New Roman" w:hAnsi="Times New Roman" w:cs="Times New Roman"/>
          <w:sz w:val="24"/>
          <w:szCs w:val="24"/>
        </w:rPr>
        <w:t>'</w:t>
      </w:r>
      <w:r w:rsidRPr="00F50E57">
        <w:rPr>
          <w:rFonts w:ascii="Times New Roman" w:hAnsi="Times New Roman" w:cs="Times New Roman"/>
          <w:sz w:val="24"/>
          <w:szCs w:val="24"/>
        </w:rPr>
        <w:t>Post‐Crisis</w:t>
      </w:r>
      <w:r>
        <w:rPr>
          <w:rFonts w:ascii="Times New Roman" w:hAnsi="Times New Roman" w:cs="Times New Roman"/>
          <w:sz w:val="24"/>
          <w:szCs w:val="24"/>
        </w:rPr>
        <w:t>'</w:t>
      </w:r>
      <w:r w:rsidRPr="00F50E57">
        <w:rPr>
          <w:rFonts w:ascii="Times New Roman" w:hAnsi="Times New Roman" w:cs="Times New Roman"/>
          <w:sz w:val="24"/>
          <w:szCs w:val="24"/>
        </w:rPr>
        <w:t xml:space="preserve"> EU Economic Governance. JCMS: Journal of Common Market Studies, 53(5), 976-993.</w:t>
      </w:r>
    </w:p>
    <w:p w:rsidR="00932914" w:rsidRDefault="00932914" w:rsidP="0084269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9329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5001" w:rsidRDefault="004A5001" w:rsidP="00A669E0">
      <w:pPr>
        <w:spacing w:after="0" w:line="240" w:lineRule="auto"/>
      </w:pPr>
      <w:r>
        <w:separator/>
      </w:r>
    </w:p>
  </w:endnote>
  <w:endnote w:type="continuationSeparator" w:id="0">
    <w:p w:rsidR="004A5001" w:rsidRDefault="004A5001" w:rsidP="00A66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5001" w:rsidRDefault="004A5001" w:rsidP="00A669E0">
      <w:pPr>
        <w:spacing w:after="0" w:line="240" w:lineRule="auto"/>
      </w:pPr>
      <w:r>
        <w:separator/>
      </w:r>
    </w:p>
  </w:footnote>
  <w:footnote w:type="continuationSeparator" w:id="0">
    <w:p w:rsidR="004A5001" w:rsidRDefault="004A5001" w:rsidP="00A669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WzNDYwNTE3NDc2NzNS0lEKTi0uzszPAykwrAUAMyGmHSwAAAA="/>
  </w:docVars>
  <w:rsids>
    <w:rsidRoot w:val="00A669E0"/>
    <w:rsid w:val="00033443"/>
    <w:rsid w:val="000A3C5E"/>
    <w:rsid w:val="000E29A2"/>
    <w:rsid w:val="0013239D"/>
    <w:rsid w:val="00190176"/>
    <w:rsid w:val="001A6C3F"/>
    <w:rsid w:val="001E30E4"/>
    <w:rsid w:val="002643A4"/>
    <w:rsid w:val="002E4916"/>
    <w:rsid w:val="003A0AE0"/>
    <w:rsid w:val="004A5001"/>
    <w:rsid w:val="005065AD"/>
    <w:rsid w:val="00533531"/>
    <w:rsid w:val="00601682"/>
    <w:rsid w:val="00761315"/>
    <w:rsid w:val="007B4F01"/>
    <w:rsid w:val="00842698"/>
    <w:rsid w:val="008927F8"/>
    <w:rsid w:val="00932914"/>
    <w:rsid w:val="00965807"/>
    <w:rsid w:val="009C7EC7"/>
    <w:rsid w:val="00A01A45"/>
    <w:rsid w:val="00A669E0"/>
    <w:rsid w:val="00C702B8"/>
    <w:rsid w:val="00CB6FD5"/>
    <w:rsid w:val="00CF3F83"/>
    <w:rsid w:val="00E37EBE"/>
    <w:rsid w:val="00EE02F9"/>
    <w:rsid w:val="00EF1E63"/>
    <w:rsid w:val="00F50E57"/>
    <w:rsid w:val="00FB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108144-BEC7-40A6-83DD-BCB87475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69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9E0"/>
  </w:style>
  <w:style w:type="paragraph" w:styleId="Footer">
    <w:name w:val="footer"/>
    <w:basedOn w:val="Normal"/>
    <w:link w:val="FooterChar"/>
    <w:uiPriority w:val="99"/>
    <w:unhideWhenUsed/>
    <w:rsid w:val="00A669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9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LAPTOP</cp:lastModifiedBy>
  <cp:revision>11</cp:revision>
  <dcterms:created xsi:type="dcterms:W3CDTF">2021-01-21T13:12:00Z</dcterms:created>
  <dcterms:modified xsi:type="dcterms:W3CDTF">2021-01-21T15:28:00Z</dcterms:modified>
</cp:coreProperties>
</file>